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French 2: Chapter 2 Test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50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Vocabulary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Matching phrases to pictures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Lessons A, B, C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Matching phrases that correspond to one another (i.e. choose the logical statement)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Grammar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Fill in the blank- the verb and tense will be given to you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Present of irregular verbs (mettre, suivre, prendre, vouloir, devoir, pouvoir, etc)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Imperative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Tu, nous, vous forms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May need to look at the other conjugations in the sentence to determine the form of the command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Passe compose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Regular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Irregular past participle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DRMRSVANDERTRAMP conjugated with etre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Superlative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Fill in the blank with the adjective given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Writing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Be familiar with Versailles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Postcard format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Listening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Be familiar with the vocabulary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Places around town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Transportation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Alegreya" w:cs="Alegreya" w:eastAsia="Alegreya" w:hAnsi="Alegreya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Versailles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Resources to consult: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-Quizlets from this chapter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-your 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-your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legreya" w:cs="Alegreya" w:eastAsia="Alegreya" w:hAnsi="Alegreya"/>
          <w:sz w:val="28"/>
          <w:szCs w:val="28"/>
          <w:rtl w:val="0"/>
        </w:rPr>
        <w:t xml:space="preserve">-reading about Versailles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legrey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greya-regular.ttf"/><Relationship Id="rId2" Type="http://schemas.openxmlformats.org/officeDocument/2006/relationships/font" Target="fonts/Alegreya-bold.ttf"/><Relationship Id="rId3" Type="http://schemas.openxmlformats.org/officeDocument/2006/relationships/font" Target="fonts/Alegreya-italic.ttf"/><Relationship Id="rId4" Type="http://schemas.openxmlformats.org/officeDocument/2006/relationships/font" Target="fonts/Alegreya-boldItalic.ttf"/></Relationships>
</file>